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svg" ContentType="image/svg+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KOMPAS</w:t>
      </w:r>
      <w:r>
        <w:t xml:space="preserve"> </w:t>
      </w:r>
      <w:r>
        <w:t xml:space="preserve">/</w:t>
      </w:r>
      <w:r>
        <w:t xml:space="preserve"> </w:t>
      </w:r>
      <w:r>
        <w:t xml:space="preserve">Aanpak</w:t>
      </w:r>
      <w:r>
        <w:t xml:space="preserve"> </w:t>
      </w:r>
      <w:r>
        <w:t xml:space="preserve">Mensenhandel</w:t>
      </w:r>
    </w:p>
    <w:bookmarkStart w:id="44" w:name="b4.2-wetgeving-mensenhandel"/>
    <w:p>
      <w:pPr>
        <w:pStyle w:val="Heading1"/>
      </w:pPr>
      <w:r>
        <w:t xml:space="preserve">B4.2 Wetgeving &amp; mensenhandel</w:t>
      </w:r>
    </w:p>
    <w:p>
      <w:pPr>
        <w:pStyle w:val="FirstParagraph"/>
      </w:pPr>
      <w:r>
        <w:drawing>
          <wp:inline>
            <wp:extent cx="3810000" cy="2540000"/>
            <wp:effectExtent b="0" l="0" r="0" t="0"/>
            <wp:docPr descr="" title="" id="1" name="Picture"/>
            <a:graphic>
              <a:graphicData uri="http://schemas.openxmlformats.org/drawingml/2006/picture">
                <pic:pic>
                  <pic:nvPicPr>
                    <pic:cNvPr descr="/media/filer_public/63/21/6321f814-0106-4c62-b5da-3e5f0923c5bb/wettelijk.svg" id="0" name="Picture"/>
                    <pic:cNvPicPr>
                      <a:picLocks noChangeArrowheads="1" noChangeAspect="1"/>
                    </pic:cNvPicPr>
                  </pic:nvPicPr>
                  <pic:blipFill>
                    <a:blip r:embed="rId20"/>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Mensenhandel wordt strafbaar gesteld in</w:t>
      </w:r>
      <w:r>
        <w:t xml:space="preserve"> </w:t>
      </w:r>
      <w:hyperlink r:id="rId21">
        <w:r>
          <w:rPr>
            <w:rStyle w:val="Hyperlink"/>
          </w:rPr>
          <w:t xml:space="preserve">Artikel 273f Wetboek van Strafrecht</w:t>
        </w:r>
      </w:hyperlink>
      <w:r>
        <w:t xml:space="preserve">. Seksuele uitbuiting, criminele uitbuiting, arbeidsuitbuiting. De verschillende vormen van mensenhandel zijn strafbaar gesteld in artikel 273f van het Wetboek van Strafrecht. In bepaalde gevallen kan er ook sprake zijn van andere strafbare feiten. Zowel wat betreft de handelingen die (ook) als mensenhandel aangemerkt kunnen worden als met betrekking tot aanverwante handelingen die plaatsvinden in een uitbuitingssituatie.</w:t>
      </w:r>
    </w:p>
    <w:p>
      <w:pPr>
        <w:pStyle w:val="BodyText"/>
      </w:pPr>
      <w:r>
        <w:t xml:space="preserve"> </w:t>
      </w:r>
    </w:p>
    <w:bookmarkStart w:id="34" w:name="seksuele-uitbuiting"/>
    <w:p>
      <w:pPr>
        <w:pStyle w:val="Heading2"/>
      </w:pPr>
      <w:r>
        <w:t xml:space="preserve">Seksuele uitbuiting</w:t>
      </w:r>
    </w:p>
    <w:p>
      <w:pPr>
        <w:pStyle w:val="FirstParagraph"/>
      </w:pPr>
      <w:r>
        <w:t xml:space="preserve">In het geval van seksuele uitbuiting in de zin van mensenhandel is er sprake van directe wetgeving, die deze vorm van uitbuiting strafbaar stelt. Als de grens van uitbuiting niet bereikt is, dan is er sprake van seksueel misbruik.</w:t>
      </w:r>
    </w:p>
    <w:p>
      <w:pPr>
        <w:pStyle w:val="BodyText"/>
      </w:pPr>
      <w:r>
        <w:t xml:space="preserve">In het Wetboek van Strafrecht gaat het om de volgende artikelen:</w:t>
      </w:r>
    </w:p>
    <w:p>
      <w:pPr>
        <w:numPr>
          <w:ilvl w:val="0"/>
          <w:numId w:val="1001"/>
        </w:numPr>
        <w:pStyle w:val="Compact"/>
      </w:pPr>
      <w:r>
        <w:t xml:space="preserve">Kinderporno: </w:t>
      </w:r>
      <w:hyperlink r:id="rId22">
        <w:r>
          <w:rPr>
            <w:rStyle w:val="Hyperlink"/>
          </w:rPr>
          <w:t xml:space="preserve">artikel 240a</w:t>
        </w:r>
      </w:hyperlink>
      <w:r>
        <w:t xml:space="preserve">, </w:t>
      </w:r>
      <w:hyperlink r:id="rId23">
        <w:r>
          <w:rPr>
            <w:rStyle w:val="Hyperlink"/>
          </w:rPr>
          <w:t xml:space="preserve">artikel 240b</w:t>
        </w:r>
      </w:hyperlink>
      <w:r>
        <w:t xml:space="preserve">, </w:t>
      </w:r>
      <w:hyperlink r:id="rId24">
        <w:r>
          <w:rPr>
            <w:rStyle w:val="Hyperlink"/>
          </w:rPr>
          <w:t xml:space="preserve">artikel 248d</w:t>
        </w:r>
      </w:hyperlink>
      <w:r>
        <w:t xml:space="preserve"> (corrumperen) en </w:t>
      </w:r>
      <w:hyperlink r:id="rId25">
        <w:r>
          <w:rPr>
            <w:rStyle w:val="Hyperlink"/>
          </w:rPr>
          <w:t xml:space="preserve">artikel 248e</w:t>
        </w:r>
      </w:hyperlink>
      <w:r>
        <w:t xml:space="preserve"> (grooming)</w:t>
      </w:r>
    </w:p>
    <w:p>
      <w:pPr>
        <w:numPr>
          <w:ilvl w:val="0"/>
          <w:numId w:val="1001"/>
        </w:numPr>
        <w:pStyle w:val="Compact"/>
      </w:pPr>
      <w:r>
        <w:t xml:space="preserve">Andere zedenzaken: </w:t>
      </w:r>
      <w:hyperlink r:id="rId26">
        <w:r>
          <w:rPr>
            <w:rStyle w:val="Hyperlink"/>
          </w:rPr>
          <w:t xml:space="preserve">artikel 244</w:t>
        </w:r>
      </w:hyperlink>
      <w:r>
        <w:t xml:space="preserve"> (ontucht &lt; 12 jaar), </w:t>
      </w:r>
      <w:hyperlink r:id="rId27">
        <w:r>
          <w:rPr>
            <w:rStyle w:val="Hyperlink"/>
          </w:rPr>
          <w:t xml:space="preserve">artikel 245</w:t>
        </w:r>
      </w:hyperlink>
      <w:r>
        <w:t xml:space="preserve"> (ontucht &gt;12 jaar en &lt; 16 jaar), </w:t>
      </w:r>
      <w:hyperlink r:id="rId28">
        <w:r>
          <w:rPr>
            <w:rStyle w:val="Hyperlink"/>
          </w:rPr>
          <w:t xml:space="preserve">artikel 247</w:t>
        </w:r>
      </w:hyperlink>
      <w:r>
        <w:t xml:space="preserve"> (verleiding &lt; 16 jaar), </w:t>
      </w:r>
      <w:hyperlink r:id="rId29">
        <w:r>
          <w:rPr>
            <w:rStyle w:val="Hyperlink"/>
          </w:rPr>
          <w:t xml:space="preserve">artikel 248a</w:t>
        </w:r>
      </w:hyperlink>
      <w:r>
        <w:t xml:space="preserve"> (verleiding) en </w:t>
      </w:r>
      <w:hyperlink r:id="rId30">
        <w:r>
          <w:rPr>
            <w:rStyle w:val="Hyperlink"/>
          </w:rPr>
          <w:t xml:space="preserve">artikel 248b</w:t>
        </w:r>
      </w:hyperlink>
      <w:r>
        <w:t xml:space="preserve"> (seksuele handelingen tegen betaling met minderjarige)</w:t>
      </w:r>
    </w:p>
    <w:p>
      <w:pPr>
        <w:numPr>
          <w:ilvl w:val="0"/>
          <w:numId w:val="1001"/>
        </w:numPr>
        <w:pStyle w:val="Compact"/>
      </w:pPr>
      <w:r>
        <w:t xml:space="preserve">Restcategorie: </w:t>
      </w:r>
      <w:hyperlink r:id="rId31">
        <w:r>
          <w:rPr>
            <w:rStyle w:val="Hyperlink"/>
          </w:rPr>
          <w:t xml:space="preserve">artikel 274</w:t>
        </w:r>
      </w:hyperlink>
      <w:r>
        <w:t xml:space="preserve"> (slavenhandel), </w:t>
      </w:r>
      <w:hyperlink r:id="rId32">
        <w:r>
          <w:rPr>
            <w:rStyle w:val="Hyperlink"/>
          </w:rPr>
          <w:t xml:space="preserve">artikel 278</w:t>
        </w:r>
      </w:hyperlink>
      <w:r>
        <w:t xml:space="preserve"> (mensenroof) en </w:t>
      </w:r>
      <w:hyperlink r:id="rId33">
        <w:r>
          <w:rPr>
            <w:rStyle w:val="Hyperlink"/>
          </w:rPr>
          <w:t xml:space="preserve">artikel 279</w:t>
        </w:r>
      </w:hyperlink>
      <w:r>
        <w:t xml:space="preserve"> (onttrekking van een minderjarige aan het gezag)</w:t>
      </w:r>
    </w:p>
    <w:p>
      <w:pPr>
        <w:numPr>
          <w:ilvl w:val="0"/>
          <w:numId w:val="1001"/>
        </w:numPr>
        <w:pStyle w:val="Compact"/>
      </w:pPr>
      <w:r>
        <w:t xml:space="preserve">De Wet Regulering Sekswerk is in voorbereiding. Deze wet beoogt onder andere misstanden zoals uitbuiting in de prostitutiebranche tegen te gaan.</w:t>
      </w:r>
    </w:p>
    <w:bookmarkEnd w:id="34"/>
    <w:bookmarkStart w:id="35" w:name="section"/>
    <w:p>
      <w:pPr>
        <w:pStyle w:val="Heading2"/>
      </w:pPr>
      <w:r>
        <w:t xml:space="preserve"> </w:t>
      </w:r>
    </w:p>
    <w:bookmarkEnd w:id="35"/>
    <w:bookmarkStart w:id="41" w:name="arbeidsuitbuiting"/>
    <w:p>
      <w:pPr>
        <w:pStyle w:val="Heading2"/>
      </w:pPr>
      <w:r>
        <w:t xml:space="preserve">Arbeidsuitbuiting</w:t>
      </w:r>
    </w:p>
    <w:p>
      <w:pPr>
        <w:pStyle w:val="FirstParagraph"/>
      </w:pPr>
      <w:r>
        <w:t xml:space="preserve">In het Wetboek van Strafrecht valt uitbuiting in alle economische sectoren onder de delictsomschrijving mensenhandel, zoals omschreven in</w:t>
      </w:r>
      <w:r>
        <w:t xml:space="preserve"> </w:t>
      </w:r>
      <w:hyperlink r:id="rId21">
        <w:r>
          <w:rPr>
            <w:rStyle w:val="Hyperlink"/>
          </w:rPr>
          <w:t xml:space="preserve">Artikel 273f Wetboek van Strafrecht</w:t>
        </w:r>
      </w:hyperlink>
      <w:r>
        <w:t xml:space="preserve">.</w:t>
      </w:r>
    </w:p>
    <w:p>
      <w:pPr>
        <w:pStyle w:val="BodyText"/>
      </w:pPr>
      <w:r>
        <w:t xml:space="preserve">Bij arbeidsuitbuiting is er ook veelal sprake van indirecte wetgeving zoals:</w:t>
      </w:r>
    </w:p>
    <w:p>
      <w:pPr>
        <w:numPr>
          <w:ilvl w:val="0"/>
          <w:numId w:val="1002"/>
        </w:numPr>
        <w:pStyle w:val="Compact"/>
      </w:pPr>
      <w:hyperlink r:id="rId36">
        <w:r>
          <w:rPr>
            <w:rStyle w:val="Hyperlink"/>
          </w:rPr>
          <w:t xml:space="preserve">Arbeidsomstandighedenwet</w:t>
        </w:r>
      </w:hyperlink>
    </w:p>
    <w:p>
      <w:pPr>
        <w:numPr>
          <w:ilvl w:val="0"/>
          <w:numId w:val="1002"/>
        </w:numPr>
        <w:pStyle w:val="Compact"/>
      </w:pPr>
      <w:hyperlink r:id="rId37">
        <w:r>
          <w:rPr>
            <w:rStyle w:val="Hyperlink"/>
          </w:rPr>
          <w:t xml:space="preserve">Arbeidstijdenwet</w:t>
        </w:r>
      </w:hyperlink>
    </w:p>
    <w:p>
      <w:pPr>
        <w:numPr>
          <w:ilvl w:val="0"/>
          <w:numId w:val="1002"/>
        </w:numPr>
        <w:pStyle w:val="Compact"/>
      </w:pPr>
      <w:hyperlink r:id="rId38">
        <w:r>
          <w:rPr>
            <w:rStyle w:val="Hyperlink"/>
          </w:rPr>
          <w:t xml:space="preserve">Wet Arbeid Vreemdelingen</w:t>
        </w:r>
      </w:hyperlink>
    </w:p>
    <w:p>
      <w:pPr>
        <w:numPr>
          <w:ilvl w:val="0"/>
          <w:numId w:val="1002"/>
        </w:numPr>
        <w:pStyle w:val="Compact"/>
      </w:pPr>
      <w:hyperlink r:id="rId39">
        <w:r>
          <w:rPr>
            <w:rStyle w:val="Hyperlink"/>
          </w:rPr>
          <w:t xml:space="preserve">Wet minimumloon</w:t>
        </w:r>
      </w:hyperlink>
    </w:p>
    <w:p>
      <w:pPr>
        <w:pStyle w:val="FirstParagraph"/>
      </w:pPr>
      <w:r>
        <w:t xml:space="preserve">Overtredingen van deze wetten kunnen signalen van arbeidsuitbuiting zijn. De Inspectie SZW houdt toezicht en controleert of de bovenstaande wetten nageleefd worden. Er is </w:t>
      </w:r>
      <w:hyperlink r:id="rId40">
        <w:r>
          <w:rPr>
            <w:rStyle w:val="Hyperlink"/>
          </w:rPr>
          <w:t xml:space="preserve">een handreiking</w:t>
        </w:r>
      </w:hyperlink>
      <w:r>
        <w:t xml:space="preserve"> </w:t>
      </w:r>
      <w:r>
        <w:t xml:space="preserve">van de ministeries SZW en JenV, opgesteld in samenwerking met het CCV, met alle directe en indirecte wetgeving over arbeidsuitbuiting en handelingsperspectieven voor een integrale aanpak.</w:t>
      </w:r>
    </w:p>
    <w:p>
      <w:pPr>
        <w:pStyle w:val="BodyText"/>
      </w:pPr>
      <w:r>
        <w:t xml:space="preserve"> </w:t>
      </w:r>
    </w:p>
    <w:bookmarkEnd w:id="41"/>
    <w:bookmarkStart w:id="43" w:name="criminele-uitbuiting"/>
    <w:p>
      <w:pPr>
        <w:pStyle w:val="Heading2"/>
      </w:pPr>
      <w:r>
        <w:t xml:space="preserve">Criminele uitbuiting</w:t>
      </w:r>
    </w:p>
    <w:p>
      <w:pPr>
        <w:pStyle w:val="FirstParagraph"/>
      </w:pPr>
      <w:r>
        <w:t xml:space="preserve">Naast</w:t>
      </w:r>
      <w:r>
        <w:t xml:space="preserve"> </w:t>
      </w:r>
      <w:hyperlink r:id="rId21">
        <w:r>
          <w:rPr>
            <w:rStyle w:val="Hyperlink"/>
          </w:rPr>
          <w:t xml:space="preserve">Artikel 273f Wetboek van Strafrecht</w:t>
        </w:r>
      </w:hyperlink>
      <w:r>
        <w:t xml:space="preserve"> </w:t>
      </w:r>
      <w:r>
        <w:t xml:space="preserve">over mensenhandel geldt bij alle vormen van uitbuiting, het non-punishment beginsel. Maar dit beginsel is vooral relevant bij criminele uitbuiting. Dit beginsel maakt het namelijk mogelijk om de slachtoffers van mensenhandel niet te bestraffen voor de strafrechtelijke gedragingen die zij onder dwang hebben begaan. Het</w:t>
      </w:r>
      <w:r>
        <w:t xml:space="preserve"> </w:t>
      </w:r>
      <w:hyperlink r:id="rId42">
        <w:r>
          <w:rPr>
            <w:rStyle w:val="Hyperlink"/>
          </w:rPr>
          <w:t xml:space="preserve">non-punishment beginsel</w:t>
        </w:r>
      </w:hyperlink>
      <w:r>
        <w:t xml:space="preserve"> </w:t>
      </w:r>
      <w:r>
        <w:t xml:space="preserve">is opgenomen in de wet- en regelgeving (EU Directive 2011/36/EU, art 8) en is opgenomen in de Aanwijzing Mensenhandel. </w:t>
      </w:r>
    </w:p>
    <w:bookmarkEnd w:id="43"/>
    <w:bookmarkEnd w:id="44"/>
    <w:sectPr w:rsidR="004E1821">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9CF859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8C5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svg" /><Relationship Type="http://schemas.openxmlformats.org/officeDocument/2006/relationships/hyperlink" Id="rId22" Target="http://wetten.overheid.nl/BWBR0001854/TweedeBoek/TitelXIV/Artikel240a/" TargetMode="External" /><Relationship Type="http://schemas.openxmlformats.org/officeDocument/2006/relationships/hyperlink" Id="rId23" Target="http://wetten.overheid.nl/BWBR0001854/TweedeBoek/TitelXIV/Artikel240b/" TargetMode="External" /><Relationship Type="http://schemas.openxmlformats.org/officeDocument/2006/relationships/hyperlink" Id="rId26" Target="http://wetten.overheid.nl/BWBR0001854/TweedeBoek/TitelXIV/Artikel244/" TargetMode="External" /><Relationship Type="http://schemas.openxmlformats.org/officeDocument/2006/relationships/hyperlink" Id="rId27" Target="http://wetten.overheid.nl/BWBR0001854/TweedeBoek/TitelXIV/Artikel245/" TargetMode="External" /><Relationship Type="http://schemas.openxmlformats.org/officeDocument/2006/relationships/hyperlink" Id="rId28" Target="http://wetten.overheid.nl/BWBR0001854/TweedeBoek/TitelXIV/Artikel247/" TargetMode="External" /><Relationship Type="http://schemas.openxmlformats.org/officeDocument/2006/relationships/hyperlink" Id="rId29" Target="http://wetten.overheid.nl/BWBR0001854/TweedeBoek/TitelXIV/Artikel248a/" TargetMode="External" /><Relationship Type="http://schemas.openxmlformats.org/officeDocument/2006/relationships/hyperlink" Id="rId30" Target="http://wetten.overheid.nl/BWBR0001854/TweedeBoek/TitelXIV/Artikel248b/" TargetMode="External" /><Relationship Type="http://schemas.openxmlformats.org/officeDocument/2006/relationships/hyperlink" Id="rId24" Target="http://wetten.overheid.nl/BWBR0001854/TweedeBoek/TitelXIV/Artikel248d/" TargetMode="External" /><Relationship Type="http://schemas.openxmlformats.org/officeDocument/2006/relationships/hyperlink" Id="rId25" Target="http://wetten.overheid.nl/BWBR0001854/TweedeBoek/TitelXIV/Artikel248e/" TargetMode="External" /><Relationship Type="http://schemas.openxmlformats.org/officeDocument/2006/relationships/hyperlink" Id="rId31" Target="http://wetten.overheid.nl/BWBR0001854/TweedeBoek/TitelXVIII/Artikel274/" TargetMode="External" /><Relationship Type="http://schemas.openxmlformats.org/officeDocument/2006/relationships/hyperlink" Id="rId32" Target="http://wetten.overheid.nl/BWBR0001854/TweedeBoek/TitelXVIII/Artikel278/" TargetMode="External" /><Relationship Type="http://schemas.openxmlformats.org/officeDocument/2006/relationships/hyperlink" Id="rId33" Target="http://wetten.overheid.nl/BWBR0001854/TweedeBoek/TitelXVIII/Artikel279/" TargetMode="External" /><Relationship Type="http://schemas.openxmlformats.org/officeDocument/2006/relationships/hyperlink" Id="rId39" Target="http://wetten.overheid.nl/BWBR0002638/2017-07-01" TargetMode="External" /><Relationship Type="http://schemas.openxmlformats.org/officeDocument/2006/relationships/hyperlink" Id="rId38" Target="http://wetten.overheid.nl/BWBR0007149/2017-07-01" TargetMode="External" /><Relationship Type="http://schemas.openxmlformats.org/officeDocument/2006/relationships/hyperlink" Id="rId37" Target="http://wetten.overheid.nl/BWBR0007671/2016-01-01" TargetMode="External" /><Relationship Type="http://schemas.openxmlformats.org/officeDocument/2006/relationships/hyperlink" Id="rId36" Target="http://wetten.overheid.nl/BWBR0010346/2017-07-01" TargetMode="External" /><Relationship Type="http://schemas.openxmlformats.org/officeDocument/2006/relationships/hyperlink" Id="rId42" Target="https://wetten.overheid.nl/BWBR0033564/2013-07-01#Circulaire.divisie_4_Circulaire.divisie2" TargetMode="External" /><Relationship Type="http://schemas.openxmlformats.org/officeDocument/2006/relationships/hyperlink" Id="rId21" Target="https://wetten.overheid.nl/jci1.3:c:BWBR0001854&amp;boek=Tweede&amp;titeldeel=XVIII&amp;artikel=273f&amp;z=2019-03-01&amp;g=2019-03-01" TargetMode="External" /><Relationship Type="http://schemas.openxmlformats.org/officeDocument/2006/relationships/hyperlink" Id="rId40" Target="https://www.rijksoverheid.nl/documenten/publicaties/2021/03/10/handreiking-integrale-aanpak-arbeidsuitbuiting" TargetMode="External" /></Relationships>
</file>

<file path=word/_rels/footnotes.xml.rels><?xml version="1.0" encoding="UTF-8"?>
<Relationships xmlns="http://schemas.openxmlformats.org/package/2006/relationships"><Relationship Type="http://schemas.openxmlformats.org/officeDocument/2006/relationships/hyperlink" Id="rId22" Target="http://wetten.overheid.nl/BWBR0001854/TweedeBoek/TitelXIV/Artikel240a/" TargetMode="External" /><Relationship Type="http://schemas.openxmlformats.org/officeDocument/2006/relationships/hyperlink" Id="rId23" Target="http://wetten.overheid.nl/BWBR0001854/TweedeBoek/TitelXIV/Artikel240b/" TargetMode="External" /><Relationship Type="http://schemas.openxmlformats.org/officeDocument/2006/relationships/hyperlink" Id="rId26" Target="http://wetten.overheid.nl/BWBR0001854/TweedeBoek/TitelXIV/Artikel244/" TargetMode="External" /><Relationship Type="http://schemas.openxmlformats.org/officeDocument/2006/relationships/hyperlink" Id="rId27" Target="http://wetten.overheid.nl/BWBR0001854/TweedeBoek/TitelXIV/Artikel245/" TargetMode="External" /><Relationship Type="http://schemas.openxmlformats.org/officeDocument/2006/relationships/hyperlink" Id="rId28" Target="http://wetten.overheid.nl/BWBR0001854/TweedeBoek/TitelXIV/Artikel247/" TargetMode="External" /><Relationship Type="http://schemas.openxmlformats.org/officeDocument/2006/relationships/hyperlink" Id="rId29" Target="http://wetten.overheid.nl/BWBR0001854/TweedeBoek/TitelXIV/Artikel248a/" TargetMode="External" /><Relationship Type="http://schemas.openxmlformats.org/officeDocument/2006/relationships/hyperlink" Id="rId30" Target="http://wetten.overheid.nl/BWBR0001854/TweedeBoek/TitelXIV/Artikel248b/" TargetMode="External" /><Relationship Type="http://schemas.openxmlformats.org/officeDocument/2006/relationships/hyperlink" Id="rId24" Target="http://wetten.overheid.nl/BWBR0001854/TweedeBoek/TitelXIV/Artikel248d/" TargetMode="External" /><Relationship Type="http://schemas.openxmlformats.org/officeDocument/2006/relationships/hyperlink" Id="rId25" Target="http://wetten.overheid.nl/BWBR0001854/TweedeBoek/TitelXIV/Artikel248e/" TargetMode="External" /><Relationship Type="http://schemas.openxmlformats.org/officeDocument/2006/relationships/hyperlink" Id="rId31" Target="http://wetten.overheid.nl/BWBR0001854/TweedeBoek/TitelXVIII/Artikel274/" TargetMode="External" /><Relationship Type="http://schemas.openxmlformats.org/officeDocument/2006/relationships/hyperlink" Id="rId32" Target="http://wetten.overheid.nl/BWBR0001854/TweedeBoek/TitelXVIII/Artikel278/" TargetMode="External" /><Relationship Type="http://schemas.openxmlformats.org/officeDocument/2006/relationships/hyperlink" Id="rId33" Target="http://wetten.overheid.nl/BWBR0001854/TweedeBoek/TitelXVIII/Artikel279/" TargetMode="External" /><Relationship Type="http://schemas.openxmlformats.org/officeDocument/2006/relationships/hyperlink" Id="rId39" Target="http://wetten.overheid.nl/BWBR0002638/2017-07-01" TargetMode="External" /><Relationship Type="http://schemas.openxmlformats.org/officeDocument/2006/relationships/hyperlink" Id="rId38" Target="http://wetten.overheid.nl/BWBR0007149/2017-07-01" TargetMode="External" /><Relationship Type="http://schemas.openxmlformats.org/officeDocument/2006/relationships/hyperlink" Id="rId37" Target="http://wetten.overheid.nl/BWBR0007671/2016-01-01" TargetMode="External" /><Relationship Type="http://schemas.openxmlformats.org/officeDocument/2006/relationships/hyperlink" Id="rId36" Target="http://wetten.overheid.nl/BWBR0010346/2017-07-01" TargetMode="External" /><Relationship Type="http://schemas.openxmlformats.org/officeDocument/2006/relationships/hyperlink" Id="rId42" Target="https://wetten.overheid.nl/BWBR0033564/2013-07-01#Circulaire.divisie_4_Circulaire.divisie2" TargetMode="External" /><Relationship Type="http://schemas.openxmlformats.org/officeDocument/2006/relationships/hyperlink" Id="rId21" Target="https://wetten.overheid.nl/jci1.3:c:BWBR0001854&amp;boek=Tweede&amp;titeldeel=XVIII&amp;artikel=273f&amp;z=2019-03-01&amp;g=2019-03-01" TargetMode="External" /><Relationship Type="http://schemas.openxmlformats.org/officeDocument/2006/relationships/hyperlink" Id="rId40" Target="https://www.rijksoverheid.nl/documenten/publicaties/2021/03/10/handreiking-integrale-aanpak-arbeidsuitbui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KOMPAS / Aanpak Mensenhandel</dc:title>
  <dc:creator/>
  <cp:keywords/>
  <dcterms:created xsi:type="dcterms:W3CDTF">2024-07-10T11:22:13Z</dcterms:created>
  <dcterms:modified xsi:type="dcterms:W3CDTF">2024-07-10T11:22:13Z</dcterms:modified>
</cp:coreProperties>
</file>

<file path=docProps/custom.xml><?xml version="1.0" encoding="utf-8"?>
<Properties xmlns="http://schemas.openxmlformats.org/officeDocument/2006/custom-properties" xmlns:vt="http://schemas.openxmlformats.org/officeDocument/2006/docPropsVTypes"/>
</file>