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svg" ContentType="image/svg+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KOMPAS</w:t>
      </w:r>
      <w:r>
        <w:t xml:space="preserve"> </w:t>
      </w:r>
      <w:r>
        <w:t xml:space="preserve">/</w:t>
      </w:r>
      <w:r>
        <w:t xml:space="preserve"> </w:t>
      </w:r>
      <w:r>
        <w:t xml:space="preserve">Aanpak</w:t>
      </w:r>
      <w:r>
        <w:t xml:space="preserve"> </w:t>
      </w:r>
      <w:r>
        <w:t xml:space="preserve">Mensenhandel</w:t>
      </w:r>
    </w:p>
    <w:bookmarkStart w:id="30" w:name="b6.3-signaleren"/>
    <w:p>
      <w:pPr>
        <w:pStyle w:val="Heading1"/>
      </w:pPr>
      <w:r>
        <w:t xml:space="preserve">B6.3 Signaleren</w:t>
      </w:r>
    </w:p>
    <w:p>
      <w:pPr>
        <w:pStyle w:val="FirstParagraph"/>
      </w:pPr>
      <w:r>
        <w:drawing>
          <wp:inline>
            <wp:extent cx="3810000" cy="2540000"/>
            <wp:effectExtent b="0" l="0" r="0" t="0"/>
            <wp:docPr descr="" title="" id="1" name="Picture"/>
            <a:graphic>
              <a:graphicData uri="http://schemas.openxmlformats.org/drawingml/2006/picture">
                <pic:pic>
                  <pic:nvPicPr>
                    <pic:cNvPr descr="/media/filer_public/a6/ff/a6ffcd7f-1180-4070-b0bb-95139ddbed6a/radar_2.svg" id="0" name="Picture"/>
                    <pic:cNvPicPr>
                      <a:picLocks noChangeArrowheads="1" noChangeAspect="1"/>
                    </pic:cNvPicPr>
                  </pic:nvPicPr>
                  <pic:blipFill>
                    <a:blip r:embed="rId20"/>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 </w:t>
      </w:r>
    </w:p>
    <w:p>
      <w:pPr>
        <w:pStyle w:val="BodyText"/>
      </w:pPr>
      <w:r>
        <w:t xml:space="preserve">Het signaleren van mensenhandel is verre van eenvoudig. Het is vaak erg lastig om vast te stellen of iemand uitgebuit wordt of niet. Handelaren doen er uiteraard alles aan om uit beeld te blijven en slachtoffers beschouwen zich soms zelf niet als slachtoffers. Slachtoffers zijn vaak zo afhankelijk van de uitbuiters dat ze niet snel om hulp vragen. Daarom is het zo belangrijk dat professionals getraind worden op het herkennen van signalen. Steeds meer gemeenten vragen ook burgers om de ogen open te houden en organiseren een publiekscampagne, zodat ook zij de signalen van uitbuiting kunnen herkennen.</w:t>
      </w:r>
    </w:p>
    <w:p>
      <w:pPr>
        <w:pStyle w:val="BodyText"/>
      </w:pPr>
      <w:r>
        <w:t xml:space="preserve"> </w:t>
      </w:r>
    </w:p>
    <w:p>
      <w:pPr>
        <w:pStyle w:val="BlockText"/>
      </w:pPr>
      <w:r>
        <w:t xml:space="preserve">Elke avond was het raak. Weer een feestje in de flat. Mensen, die luidruchtig het pand verlieten, taxi’s met draaiende motor in de straat. Een buurman was het ook opgevallen. Zijn vrouw vond het vreemd. De gordijnen altijd dicht, vrouwen die ze maar zelden zag en dan altijd met een man erbij. Er gingen geruchten dat er een escortservice in het pand gerund werd. We overwogen om de wijkagent een seintje te geven en ook de huiseigenaar, die langdurig in het buitenland verbleef. Verder wisten we het ook niet zo goed. Niet lang daarna deed de politie een inval en hoorden we dat er vermoedelijk vrouwen werden vastgehouden. Na de schok daarover sleet de herinnering aan die gebeurtenis. En nu, zeker tien jaar later, moet ik er ineens aan terugdenken en dan dringt het tot me door. Vallen de waarnemingen en gebeurtenissen van destijds als puzzelstukjes ineen. We zagen het zonder het te weten. Wij waren getuigen van mensenhandel. Zo dichtbij kan het komen.</w:t>
      </w:r>
    </w:p>
    <w:p>
      <w:pPr>
        <w:pStyle w:val="FirstParagraph"/>
      </w:pPr>
      <w:r>
        <w:t xml:space="preserve">Barbara Schmeits,</w:t>
      </w:r>
      <w:r>
        <w:br/>
      </w:r>
      <w:r>
        <w:t xml:space="preserve">projectleider mensenhandel VNG</w:t>
      </w:r>
    </w:p>
    <w:p>
      <w:pPr>
        <w:pStyle w:val="BodyText"/>
      </w:pPr>
      <w:r>
        <w:t xml:space="preserve"> </w:t>
      </w:r>
    </w:p>
    <w:p>
      <w:pPr>
        <w:pStyle w:val="BodyText"/>
      </w:pPr>
      <w:r>
        <w:t xml:space="preserve">Signaleren is de eerste stap bij het doorbreken van uitbuiting. Goed getrainde medewerkers zullen signalen eerder oppikken en weten wat ze ermee moeten doen. Voor de verschillende vormen van uitbuiting bestaan heel wat trainingsprogramma’s. Daarbij gaat het om een andere manier van kijken en niet om het werk compleet anders in te richten. Signaalkaarten, die in veel regio’s al worden gebruikt, zijn hier een handig hulpmiddel bij. Het is goed om deze kaarten te koppelen aan de meldroute. Onderaan deze kaart zijn verschillende links naar signaalkaarten en trainingen te vinden.</w:t>
      </w:r>
    </w:p>
    <w:bookmarkStart w:id="21" w:name="kwetsbaar"/>
    <w:p>
      <w:pPr>
        <w:pStyle w:val="Heading3"/>
      </w:pPr>
      <w:r>
        <w:t xml:space="preserve">Kwetsbaar</w:t>
      </w:r>
    </w:p>
    <w:p>
      <w:pPr>
        <w:pStyle w:val="FirstParagraph"/>
      </w:pPr>
      <w:r>
        <w:t xml:space="preserve">Het is belangrijk dat professionals – gemeenten, wijkteams, zorg, onderwijs – ook weten welke slachtoffers kwetsbaar kunnen zijn en extra alert zijn op mogelijke signalen van uitbuiting.</w:t>
      </w:r>
    </w:p>
    <w:p>
      <w:pPr>
        <w:pStyle w:val="BodyText"/>
      </w:pPr>
      <w:r>
        <w:t xml:space="preserve">Het Expertisecentrum Mensenhandel Jeugdprostitutie heeft een lijst met kenmerken gemaakt van groepen die kwetsbaar zijn voor seksuele uitbuiting. CoMensha benoemt risicofactoren die voor alle vormen van uitbuiting gelden. Dan valt te denken aan:</w:t>
      </w:r>
    </w:p>
    <w:p>
      <w:pPr>
        <w:numPr>
          <w:ilvl w:val="0"/>
          <w:numId w:val="1001"/>
        </w:numPr>
        <w:pStyle w:val="Compact"/>
      </w:pPr>
      <w:r>
        <w:t xml:space="preserve">faseproblematiek</w:t>
      </w:r>
    </w:p>
    <w:p>
      <w:pPr>
        <w:numPr>
          <w:ilvl w:val="0"/>
          <w:numId w:val="1001"/>
        </w:numPr>
        <w:pStyle w:val="Compact"/>
      </w:pPr>
      <w:r>
        <w:t xml:space="preserve">LVB-problematiek</w:t>
      </w:r>
    </w:p>
    <w:p>
      <w:pPr>
        <w:numPr>
          <w:ilvl w:val="0"/>
          <w:numId w:val="1001"/>
        </w:numPr>
        <w:pStyle w:val="Compact"/>
      </w:pPr>
      <w:r>
        <w:t xml:space="preserve">psychische trauma’s, bijvoorbeeld seksueel misbruik, geweld of jeugdhulpverleningsverleden</w:t>
      </w:r>
    </w:p>
    <w:p>
      <w:pPr>
        <w:numPr>
          <w:ilvl w:val="0"/>
          <w:numId w:val="1001"/>
        </w:numPr>
        <w:pStyle w:val="Compact"/>
      </w:pPr>
      <w:r>
        <w:t xml:space="preserve">opgegroeid zijn in een gezin met langdurig veel problemen</w:t>
      </w:r>
    </w:p>
    <w:p>
      <w:pPr>
        <w:numPr>
          <w:ilvl w:val="0"/>
          <w:numId w:val="1001"/>
        </w:numPr>
        <w:pStyle w:val="Compact"/>
      </w:pPr>
      <w:r>
        <w:t xml:space="preserve">niet-westerse migratieachtergrond: leven binnen twee culturen</w:t>
      </w:r>
    </w:p>
    <w:p>
      <w:pPr>
        <w:numPr>
          <w:ilvl w:val="0"/>
          <w:numId w:val="1001"/>
        </w:numPr>
        <w:pStyle w:val="Compact"/>
      </w:pPr>
      <w:r>
        <w:t xml:space="preserve">vluchtelingen, arbeidsmigranten en ongedocumenteerden</w:t>
      </w:r>
    </w:p>
    <w:p>
      <w:pPr>
        <w:numPr>
          <w:ilvl w:val="0"/>
          <w:numId w:val="1001"/>
        </w:numPr>
        <w:pStyle w:val="Compact"/>
      </w:pPr>
      <w:r>
        <w:t xml:space="preserve">jonge leeftijd</w:t>
      </w:r>
    </w:p>
    <w:p>
      <w:pPr>
        <w:numPr>
          <w:ilvl w:val="0"/>
          <w:numId w:val="1001"/>
        </w:numPr>
        <w:pStyle w:val="Compact"/>
      </w:pPr>
      <w:r>
        <w:t xml:space="preserve">LHBTI+</w:t>
      </w:r>
    </w:p>
    <w:p>
      <w:pPr>
        <w:pStyle w:val="FirstParagraph"/>
      </w:pPr>
      <w:r>
        <w:t xml:space="preserve">Locaties en omstandigheden kunnen aanwijzingen verschaffen over mogelijke uitbuiting.</w:t>
      </w:r>
    </w:p>
    <w:bookmarkEnd w:id="21"/>
    <w:bookmarkStart w:id="22" w:name="section"/>
    <w:p>
      <w:pPr>
        <w:pStyle w:val="Heading2"/>
      </w:pPr>
      <w:r>
        <w:t xml:space="preserve"> </w:t>
      </w:r>
    </w:p>
    <w:bookmarkEnd w:id="22"/>
    <w:bookmarkStart w:id="23" w:name="signaleren-seksuele-uitbuiting"/>
    <w:p>
      <w:pPr>
        <w:pStyle w:val="Heading2"/>
      </w:pPr>
      <w:r>
        <w:t xml:space="preserve">Signaleren seksuele uitbuiting  </w:t>
      </w:r>
    </w:p>
    <w:p>
      <w:pPr>
        <w:pStyle w:val="FirstParagraph"/>
      </w:pPr>
      <w:r>
        <w:t xml:space="preserve">Seksuele uitbuiting kan overal plaatsvinden. Van woonhuizen, hotels, massagesalons, sauna’s, vakantieparken tot aan garageboxen en auto’s. Illegaal sekswerk is niet hetzelfde als seksuele uitbuiting. Een fenomeen dat veel aandacht krijgt is loverboysproblematiek. Volgens veel experts een verkeerde term die een veel te onschuldig beeld van de dader schept. Loverboys zijn mensenhandelaren.</w:t>
      </w:r>
    </w:p>
    <w:p>
      <w:pPr>
        <w:pStyle w:val="BodyText"/>
      </w:pPr>
      <w:r>
        <w:t xml:space="preserve"> </w:t>
      </w:r>
    </w:p>
    <w:bookmarkEnd w:id="23"/>
    <w:bookmarkStart w:id="25" w:name="signaleren-arbeidsuitbuiting"/>
    <w:p>
      <w:pPr>
        <w:pStyle w:val="Heading2"/>
      </w:pPr>
      <w:r>
        <w:t xml:space="preserve">Signaleren arbeidsuitbuiting</w:t>
      </w:r>
    </w:p>
    <w:p>
      <w:pPr>
        <w:pStyle w:val="FirstParagraph"/>
      </w:pPr>
      <w:r>
        <w:t xml:space="preserve">Onderbetaling en arbeidsuitbuiting gaan vaak samen, blijkt uit onderzoek door de Inspectie SZW. Onderbetaling en ‘slecht werkgeverschap’ zijn juridisch gezien nog geen arbeidsuitbuiting. Daarvoor moet er sprake zijn van dwang, intimidatie en/of isolatie, hetgeen in de praktijk erg lastig aan te tonen is. Uitbuiters zullen alle mogelijkheden benutten om slachtoffers buiten beeld van instanties te houden.</w:t>
      </w:r>
    </w:p>
    <w:bookmarkStart w:id="24" w:name="medewerkers-rni-balies"/>
    <w:p>
      <w:pPr>
        <w:pStyle w:val="Heading3"/>
      </w:pPr>
      <w:r>
        <w:t xml:space="preserve">Medewerkers RNI-balies</w:t>
      </w:r>
    </w:p>
    <w:p>
      <w:pPr>
        <w:pStyle w:val="FirstParagraph"/>
      </w:pPr>
      <w:r>
        <w:rPr>
          <w:i/>
        </w:rPr>
        <w:t xml:space="preserve">Medewerkers van Registratie Niet-Ingezetenen (RNI) worden getraind in het herkennen van signalen. 'Ze verstrekken veel arbeidsmigranten namelijk wél een BSN-nummer, maar zonder hen in te schrijven op een woonadres. In dat geval mogen migranten maximaal vier maanden in Nederland blijven, maar die regel wordt massaal ontdoken. De consequentie is dat van vele tienduizenden arbeidsmigranten geen woonadres bekend is. Een gunstige bijkomstigheid van het verkrijgen van een BSN-nummer is het feit dat een persoon een bankrekening kan openen. Gemeenteambtenaren vrezen dat ze met het verstrekken van BSN-nummers uitbuiting faciliteren. Landelijk beleid geeft echter geen weigeringsgronden, ook niet bij hoogfrequente en verdachte BSN-aanvragen,’ aldus het RIEC (landelijke beeld ondermijnende criminaliteit LIEC 2019).</w:t>
      </w:r>
    </w:p>
    <w:p>
      <w:pPr>
        <w:pStyle w:val="BodyText"/>
      </w:pPr>
      <w:r>
        <w:t xml:space="preserve"> </w:t>
      </w:r>
    </w:p>
    <w:bookmarkEnd w:id="24"/>
    <w:bookmarkEnd w:id="25"/>
    <w:bookmarkStart w:id="27" w:name="signaleren-criminele-uitbuiting"/>
    <w:p>
      <w:pPr>
        <w:pStyle w:val="Heading2"/>
      </w:pPr>
      <w:r>
        <w:t xml:space="preserve">Signaleren criminele uitbuiting</w:t>
      </w:r>
    </w:p>
    <w:p>
      <w:pPr>
        <w:pStyle w:val="FirstParagraph"/>
      </w:pPr>
      <w:r>
        <w:t xml:space="preserve">Elke vorm van uitbuiting is lastig om te herkennen, criminele uitbuiting is zo mogelijk nog complexer. Het is volgens experts de kunst om signalen te combineren, signalen die bijvoorbeeld zowel bij gemeente, onderwijs en politie binnenkomen. Het bovengenoemde barrièremodel (</w:t>
      </w:r>
      <w:hyperlink r:id="rId26">
        <w:r>
          <w:rPr>
            <w:rStyle w:val="Hyperlink"/>
          </w:rPr>
          <w:t xml:space="preserve">link</w:t>
        </w:r>
      </w:hyperlink>
      <w:r>
        <w:t xml:space="preserve">) kan helpen om het criminele proces in beeld te brengen en zo kan meteen ook in kaart worden gebracht welke professionals er in aanraking mee kunnen komen. Daar komt bij dat bij criminele uitbuiting het slachtoffer, dat ook een strafbaar feit begaat, als dader wordt gezien. Dwang is vaak niet meteen duidelijk en allesbehalve eenvoudig te herkennen.</w:t>
      </w:r>
    </w:p>
    <w:p>
      <w:pPr>
        <w:pStyle w:val="BodyText"/>
      </w:pPr>
      <w:r>
        <w:t xml:space="preserve">Een deel van de slachtoffers begint namelijk vrijwillig met criminele activiteiten, waarna ze vervolgens klem komen te zitten en onder druk worden gezet. Criminelen ronselen slachtoffers onder andere bij casino’s, voedselbanken, scholen of asielzoekerscentra. Vormen van criminele uitbuiting zijn het gedwongen dealen of smokkelen van drugs, hennepteelt, diefstal en vals geld wisselen.</w:t>
      </w:r>
    </w:p>
    <w:bookmarkEnd w:id="27"/>
    <w:bookmarkStart w:id="28" w:name="section-1"/>
    <w:p>
      <w:pPr>
        <w:pStyle w:val="Heading2"/>
      </w:pPr>
      <w:r>
        <w:t xml:space="preserve"> </w:t>
      </w:r>
    </w:p>
    <w:bookmarkEnd w:id="28"/>
    <w:bookmarkStart w:id="29" w:name="verschilllende-vormen-van-uitbuiting"/>
    <w:p>
      <w:pPr>
        <w:pStyle w:val="Heading2"/>
      </w:pPr>
      <w:r>
        <w:t xml:space="preserve">Verschilllende vormen van uitbuiting</w:t>
      </w:r>
    </w:p>
    <w:p>
      <w:pPr>
        <w:pStyle w:val="FirstParagraph"/>
      </w:pPr>
      <w:r>
        <w:t xml:space="preserve">Het komt voor dat slachtoffers te maken krijgen met verschillende vormen van uitbuiting. Er kan bijvoorbeeld sprake zijn van zowel seksuele als criminele uitbuiting. Vormen kunnen door elkaar lopen. Ook kan daderschap en slachtofferschap in elkaar overlopen. Zo zijn er voorbeelden bekend van slachtoffers die eerst zelf seksueel werden uitgebuit en daarna onder dwang jongeren strikken, die vervolgens ook slachtoffer worden.</w:t>
      </w:r>
    </w:p>
    <w:bookmarkEnd w:id="29"/>
    <w:bookmarkEnd w:id="30"/>
    <w:sectPr w:rsidR="004E1821">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9CF859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8C5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svg" /><Relationship Type="http://schemas.openxmlformats.org/officeDocument/2006/relationships/hyperlink" Id="rId26" Target="https://www.barrieremodellen.nl/" TargetMode="External" /></Relationships>
</file>

<file path=word/_rels/footnotes.xml.rels><?xml version="1.0" encoding="UTF-8"?>
<Relationships xmlns="http://schemas.openxmlformats.org/package/2006/relationships"><Relationship Type="http://schemas.openxmlformats.org/officeDocument/2006/relationships/hyperlink" Id="rId26" Target="https://www.barrieremodellen.n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KOMPAS / Aanpak Mensenhandel</dc:title>
  <dc:creator/>
  <cp:keywords/>
  <dcterms:created xsi:type="dcterms:W3CDTF">2024-06-19T13:24:38Z</dcterms:created>
  <dcterms:modified xsi:type="dcterms:W3CDTF">2024-06-19T13:24:38Z</dcterms:modified>
</cp:coreProperties>
</file>

<file path=docProps/custom.xml><?xml version="1.0" encoding="utf-8"?>
<Properties xmlns="http://schemas.openxmlformats.org/officeDocument/2006/custom-properties" xmlns:vt="http://schemas.openxmlformats.org/officeDocument/2006/docPropsVTypes"/>
</file>